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BAIL APPLICATION U/S 389 CR.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the High Court of Delhi at New Delhi Criminal Appellate Jurisdiction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CRL. MISC. NO................................................... 2002</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Criminal Appeal No.............................................. 2002</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re: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Appellant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versus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State of........................................................ Respondent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Application under Section 389 Cr. P. C.</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Seeking suspension to sentence order passed by............................ ASJ vide order dated............................ for the offence u/s............................ to suffer sentence of RI............................ with fine of Rs............................. in default to suffer SI 3 months.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Most respectfully showeth: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That humble petitioner has been tried by learned session Judge ............................ for the offence u/s............................ and convicted for the offence and passed sentence to undergo as above.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That being aggrieved by the conviction appellant has filed a criminal appeal which is pending adjudication before the Hon’ble court.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That appellant has been on bail throughout the period of trial and did not misuse the bail privilage so granted.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That the Hon’ble court has jurisdiction to entertain this application and grant relief so sought.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5. That applicant petitioner will obey any condition imposed by this Hon’ble court and shall furnish sound surety.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(any relevant fact helping in the grant of bail may be added). (Temporary bail for filing appeal if any must be cited in the application).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PRAYER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It is most respectfully submitted that this Hon’ble court may please be gracious in granting bail and enlarge the convict by way of suspending the sentence till the final disposal of the appeal for which act of kindness the humble petitioner shall ever remain thankful to the Hon’ble court.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Applicant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Date: </w:t>
        <w:tab/>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Through Counsel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Place: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