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Bail Petition before a Magistrate during Police Enquiry under sec 437, Cr 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Bombay </w:t>
        <w:tab/>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48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w:t>
        <w:tab/>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48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versus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48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...........................Accused AB son of TZ, Village: Thana</w:t>
        <w:tab/>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petition for bail of accused AB, during police enquiry</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AB the accused above-named</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MOST RESPECTFULLY SHEWETH:</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your petitioner was arrested by the police on 5th March 2010 on mere suspicion. That nearly a month has passed after the arrest but still the Investigating Police Officer has not submitted a charge-sheet.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your petitioner was not identified by any inmate of the house of CM where the burglary is alleged to have taken place, nor was any incriminating article found in his house.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your petitioner has reason to believe that one GS with whom your petitioner is on bad terms and who is looking after the case for the complainant has falsely implicated your petitioner in the case out of grudge.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your petitioner shall fully co-operate with the police.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your petitioner is not likely to abscond or leave the country.</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Prayer</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 petitioner prays that your Honour may be pleased to call for police papers and after perusing the same be pleased to direct the release of your petitioner on bail.</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your petitioner, as in duty bound, shall ever pray.</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w:t>
        <w:tab/>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AB</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2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AB, son of TZ, residing at...........by occupation business, do hereby solemnly affirm and say as follows: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I am the petitioner above-named. I know and I have made myself acquainted with the facts and circumstances of the case and I am able to depose thereto.</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statements in paragraphs 1 to 5 of the foregoing petition are true and correct to my knowledge and belief.</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I sign this verification on the 6th day of May 2010.</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affirmed by the said AB</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on 6th May 2010 at the Court</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House at...................AB</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 Notary/Magistrate.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