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U/S 107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COURT OF SH............................. SEM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2002/dated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 Applicant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etc................................................. Opposite party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107 Cr. P. 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most respectfully submits as unden-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opposite party (parties) has/have started construction of wall obstructing Municipal by pass road causing obstruction to the passing of petitioner inspite of repeated request not to do 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petitioner is peace loving citizen and lives within the jurisdiction of the Hon’ble Court, under the above Police Station.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opposite party joined hand with other nearby resident to close the road and block all the ways in collusion with municipal officials who are also neighbour of opposite party.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petitioner has been, on many occasion threatened by the said opposite party and threatened to close the passage stating that municipal authority are in my hand and gloves and as such opposite party can do whatever he likes.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on many occasion petitioner has lodged complain both to police and municipal authorities to which no action has been taken. This has embolden opposite party and causing an great disturbance to the complainant as well as to other residents, causing violence disturbance in place and public-ranguility to which police has played indirect role.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Petitioners, therefore prays that aforesaid allegation be enquired into and opposite party/parties be ordered to execute bonds, sureties with for keeping peace for a period that the court may deem fit and proper to fix in the prevailing circumstances.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