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 U/S 320 CR.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Judge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 /MM............................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 &amp; other............................... Complainant/applicant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&amp; other...................................................... Accused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 No.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U/S............................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u/s 320 Cr. P.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accused is facing trial before this Hon’ble court under Section 379 for having stolen the scooter belonging to AB.............................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case was initiated on FIR of the said — AB (S/o, R/o).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on intervention of Local guardian/Sarpanch/elders the accused who is persuing secondary school have been pardoned by the complainant and he is prepared to compromise the case with the accused.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That the compromise would not only save the career of the accused but also would promote good relationship with the complainant who is also a resident of the locality of the accused.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That the application is being moved jointly by AB, the owner of Scooter, and the accused. Affidavit of compromise between accused &amp; AB is enclosed).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That it is a fit case where this Hon’ble Court may please be graciously grant permission to compromise u/s 320 Cr. P. C. or to compound the case.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requested that compromise be recorded on record and accused be acquitted in the interest of social justice.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Complainant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: Counsel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