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26</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ATTACHMENT IN THE CASE OF A DISPUTE AS TO THE POSSESSION OF LAND, ETC.</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146)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Officer-in-charge of the police station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Collector of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it has been made to appear to me that a dispute likely to induce a breach of the peace existed between (describe the parties concerned by name and residence, or residence only if the dispute be between bodies of villagers) concerning certain (state concisely the subject of dispute) situate within the limits of my jurisdiction, and the said parties were thereupon duly called upon to state in writing their respective claims as to the fact of actual possession of the said (the subject of dispute), and whereas, upon due inquiry into the said claims, I have decided that neither of the said parties was in possession of the said (the subject of dispute) (or I am unable to satisfy myself as to which of the said parties was in possession as aforesaid);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attach the said (the subject of dispute) by taking and keeping possession thereof, and to hold the same under attachment until the decree or order of a competent court determining the rights of the parties, or the claim to possession shall have been obtained, and to return this warrant with an endorsement certifying the manner of its execution.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rtl w:val="0"/>
        </w:rPr>
        <w:t xml:space="preserve">(Seal of the Court</w:t>
      </w:r>
      <w:r w:rsidDel="00000000" w:rsidR="00000000" w:rsidRPr="00000000">
        <w:rPr>
          <w:rFonts w:ascii="Arial" w:cs="Arial" w:eastAsia="Arial" w:hAnsi="Arial"/>
          <w:smallCaps w:val="0"/>
          <w:color w:val="000000"/>
          <w:sz w:val="20"/>
          <w:szCs w:val="20"/>
          <w:rtl w:val="0"/>
        </w:rPr>
        <w:t xml:space="preserv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