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WRITTEN STATEMENT —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VIS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145 CR.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SDM/MAGISTRATE............................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No............................. 2002</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Re: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First Party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mCD............................................................ Second Party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Written statement by second party.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orchard being Plot No............................. in question under the proceeding is exclusively in possession and in charge of second party since last ............................ years and the orchard in question had never been in possession of first party.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continued possession of the orchard in question can never be disturbed by first party and cannot be challenged in the proceeding adopted by First party in an illegal method is a misleading in nature.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First party instead of taking proper recourse to civil court if any can not resort to section 145 Cr. P. C. for possession.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present case is not covered by proviso to Section 145(4) Cr. P. C. for the rightful owner is second party.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most respectfully prayed that the application of First Party under Section 145 Cr. P. C. being misconceived in Law and contrary to actual fact of possession be dismissed and peaceful possession of orchard by second party be maintained.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 party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w:t>
        <w:tab/>
        <w:tab/>
        <w:tab/>
        <w:tab/>
        <w:tab/>
        <w:tab/>
        <w:tab/>
        <w:tab/>
        <w:tab/>
        <w:tab/>
        <w:tab/>
        <w:tab/>
        <w:tab/>
        <w:tab/>
        <w:tab/>
        <w:t xml:space="preserve">Through Counsel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