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GRANT OF EASEMENT OF LIGHT AND AIR ON THE CONDITION THAT THE GRANT WILL SUBSIST SO LONG AS THE GRANTOR DOES NOT CLOSE IT BY HIS CONSTRUCTIONS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made at ………this…………day of…………….20………between A son of B resident of …………(hereinafter called "the Grantor") of the ONE PART and C son of D resident of.......................</w:t>
        <w:tab/>
        <w:t xml:space="preserve">(hereinafter called "the Grantee")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grantor is the owner of the house No . ........................... situated at……………. Road, District…………….more particularly delineated on the plan annexed to these presents and thereon coloured pink</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(2)The grantee is the owner of the house adjoining to the house of the grantor, delineated on the said plan and thereon coloured green.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grantor has agreed to grant unto the grantee, the right of free air and light in and through the four apertures at the place indicated by dotted blue lines on the said plan made by the said grantee according to the specifications and measurements thereby given, upon the terms and conditions hereinafter appearing.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pursuance of the said agreement, and in consideration of the premises, the grantor hereby grants unto the said grantee all and full rights and liberty to enjoy the access of light and air in and through the said apertures, so long as the same are not closed by any of the future constructions made by the grantor in his house.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their hands on the day and year first above written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WITNESSES </w:t>
        <w:tab/>
        <w:t xml:space="preserve">Signed and delivered by the within named grantor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grantee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