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GIFT INCONSIDERATION OF MARRIAGE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settlement is made at……………..on this……………..day of……… between A son of B resident of……………..(hereinafter called"the settlor") of the ONE PART and Shri C son of Shri……………..resident of.........(hereinafter called "the beneficiary")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(1)The settlor is the exclusive owner of the property, more particularly described in the Schedule hereto and hereinafter called the said property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(2) At the request of the settlor, the beneficiary has agreed to marry the daughter of settlor Kum . ……………..on ……………..according to Hindu rites.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That in consideration of the said marriage, the settlor herebytransfers, conveys, grants and assures unto and to the use of the beneficiary all that property more particularly described in the Schedule hereto, to hold the same to the beneficiary as absolute owner, subject </w:t>
        <w:tab/>
        <w:t xml:space="preserve">to the following conditions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That the beneficiary hereby covenants with the settlor that on failure of the said marriage, the beneficiary shall reconvey the said property to the settlor at his own costs.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That the physical possession of the said property has been delivered by the settlor to the beneficiary.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That the estimated value of the property hereby transferred is Rs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their hands to this on the day and year first above mentioned.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(Particulars of the property to be transferred)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settlor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beneficiary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