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18BB]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80HHA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examined the balance sheet of the small-scale industrial undertaking styled**.............….and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belonging to M/s…………………………............as at..................and the profit and loss account of the said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small-scale industrial undertaking for the year ended on that date which are in agreement with the books of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 maintained at the head office at ……..................... and branches at...................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information and explanations which to the best of *my/our knowledge and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belief were necessary for the purposes of the audit. In *my/our opinion, proper books of account have been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kept by the head office and the branches of the small-scale industrial undertaking aforesaid visited by *me/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us so far as appears from *my/our examination of books, and proper returns adequate for the purposes of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audit have been received from branches not visited by *me/us, subject to the comments given below:—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*my/our opinion and to the best of *my/our information and according to explanations given to *me/us,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accounts give a true and fair view—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(i) in the case of the balance sheet, of the state of affairs of the above named small scale industrial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undertaking as at................, and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in the case of the profit and loss account, of the profit or loss of the small-scale industrial undertak-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for the accounting year ending on...............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Place………............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i w:val="1"/>
          <w:smallCaps w:val="0"/>
          <w:color w:val="000000"/>
          <w:sz w:val="17"/>
          <w:szCs w:val="17"/>
          <w:rtl w:val="0"/>
        </w:rPr>
        <w:t xml:space="preserve">Accountant$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I. *Delete whichever is not applicable.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**Here give name and address of the small-scale industrial undertaking.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$This report is to be given by-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1949(38 of 1949);or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 section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226 of the Companies Act. l956 (1 of 1956), entitled to be appointed to act as an auditor of compa-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nies registered in that State.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Where any of the matters stated in this report is answered in the negative orwith a qualification, the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