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10CCAA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18BBA(1A)]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80HHBA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 have examined the balance sheet of Shri/M/s. ...................................................................................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 as at ......................................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assessee with Permanent Account Number)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 and the profit and loss account for the period ended on that day which are in agree-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with the books of accounts maintained at the head office at ......................................................... and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branches at 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am/We are staisfied that Shri/M/s. ............................................................................ has/have maintained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separate accounts in respect of the profits and gains derived from the execution of a housing project awarded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the assessee on the basis of a global tender which is aided by the World Bank.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 certify that all expenses, wherever incurred, for the purposes of the said business have been debited to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profit and loss account of the said business and that expenses, if any, incurred by the assessee which are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common to the said business and any other business of the assessee have been apportioned on a reasonable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basis and appropriate debits have been made to the profit and loss account of the said business.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 have obtained all the information and explanations which to the best of my/our knowledge and belief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were necessary for the purposes of the audit. In my/our opinion, proper books of account have been kept by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head office and the branches in respect of the aforesaid business visited by me/us so far as appears from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my/our examination of books, and proper returns adequate for the purposes of audit have been received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branches not visited by me/us subject to the comments given below: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my/our opinion and to the best of my/our information and according to explanations given to me/us, the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said accounts give a true and fair view --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the case of the balance sheet, of the state of affairs of the aforesaid business as at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 and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the case of the profit and loss account, of the profit or loss of the aforesaid business for the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accounting year ending on .......................................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......................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Accountant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This report is to be given by :-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 of 1949);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in sub-section (2) of section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226 of the Companies Act, 1956 (1 of 1956), entitled to be appointed to act as an auditor of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companies registered in that State.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Where any of the matter stated in this report is answered in the negative or with a qualification, the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 therefor.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