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M-3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t>
      </w:r>
      <w:r w:rsidDel="00000000" w:rsidR="00000000" w:rsidRPr="00000000">
        <w:rPr>
          <w:i w:val="1"/>
          <w:smallCaps w:val="0"/>
          <w:rtl w:val="0"/>
        </w:rPr>
        <w:t xml:space="preserve">See</w:t>
      </w:r>
      <w:r w:rsidDel="00000000" w:rsidR="00000000" w:rsidRPr="00000000">
        <w:rPr>
          <w:smallCaps w:val="0"/>
          <w:rtl w:val="0"/>
        </w:rPr>
        <w:t xml:space="preserve"> rule 10A(1)]</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Warrant of authorisation under sub-section (1) of section 37B of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u w:val="single"/>
          <w:rtl w:val="0"/>
        </w:rPr>
        <w:t xml:space="preserve">The Deputy Director</w:t>
      </w:r>
      <w:r w:rsidDel="00000000" w:rsidR="00000000" w:rsidRPr="00000000">
        <w:rPr>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Deputy Commissioner,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Director,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Commissioner,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Income-tax Officer,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information has been laid before me and on the consideration thereof I have reason to believe that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summons under sub-section (1) of section 37 of the Wealth-tax Act, 1957, or a notice under sub-section (4) of section 16 of the Wealth-tax Act, 1957was issued by the Deputy Commissioner/Assistant Commissioner /Income-tax Officer, ........................................ to .............................................................. name of the person] to produce, or cause to be produced, books of account or other documents specified in the relevant summons or notice, and he has omitted or filed to produce, or cause to be produced, such books of account or other documents as required by such summons or notice, and the said books of account or other documents have been taken into custody by ..................................................... [name and designation of the officer or authority]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Certain books of account or other documents which will be useful for, or relevant to proceedings under the Wealth–tax Act, 1957, have been taken into custody by .................................................................................. [name of the person] to whom a summons under sub-section (1) of section 37 of the Wealth-tax Act, 1957, or a notice under sub-section (4) of section 16 of the Wealth-tax Act , 1957, has been or might be issued by the Deputy Commissioner /Assistant Commissioner/Income-tax Officer ] ...................................... will not, or would not, produce, or cause to be produced, such books of account other document on their return by the said officer/authority;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articles or things (including money) taken into custody by .............................................. [name and designation of the officer or authority] being disproportionate to the known assets of sarvashri/shri/Shrimati ........................................................ particulars of which will be useful for, or relevant to, the proceedings under the Wealth-tax Act, 1957;</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is to authorise you .................................. [name of the Deputy Director or of the Deputy Commissioner or of the Assistant Director or of the Assistant Commissioner or the Income-tax Officer] to require  the said Officer or authority;-------</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to deliver such books of account or other documents to you; and/or</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to funish a note or an inventory of such articles or things (including money) to you.</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5760" w:firstLine="0"/>
        <w:rPr>
          <w:smallCaps w:val="0"/>
        </w:rPr>
      </w:pPr>
      <w:r w:rsidDel="00000000" w:rsidR="00000000" w:rsidRPr="00000000">
        <w:rPr>
          <w:smallCaps w:val="0"/>
          <w:rtl w:val="0"/>
        </w:rPr>
        <w:t xml:space="preserve">Director General or Director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(Seal)</w:t>
        <w:tab/>
      </w:r>
      <w:r w:rsidDel="00000000" w:rsidR="00000000" w:rsidRPr="00000000">
        <w:rPr>
          <w:smallCaps w:val="0"/>
          <w:rtl w:val="0"/>
        </w:rPr>
        <w:tab/>
        <w:tab/>
        <w:tab/>
        <w:tab/>
        <w:tab/>
        <w:tab/>
        <w:t xml:space="preserve">Chief Commissioner or Commissioner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