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10CCAB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18BBA(2)]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to be issued by Export House/Trading House to the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supporting manufacturer for purposes of clause (b) of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sub-section (4A) of section 80HHC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is to certify that I/we*………………………………………………....................................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 House/Trading House with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........................................................................................................................, have during the previous year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permanent account number)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relevant to the assessment year ………….... exported goods or merchandise manufactured and sold to us by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M/s.................................................................................................................................................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supporting manufacturer with permanent account number]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...............................................................................................................................................………..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NECESSARY PARTICULARS ARE GIVEN HEREUNDER: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Particulars relating to Export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Particulars relating to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House/Trading House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supporting manufacturer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No. Invoice No. Port of Nature of Amount of Bill No. Nature of Amount of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date &amp; destination goods and export and date of goods and purchase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shipping quantity turnover purchase quantity in rupees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Bill No.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in rupees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date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1 2 3 4 5 6 7 8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out of the total export turnover referred to in column 5 above amounting to Rs......................................,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I/we* confirm that I/we* have not claimed deduction under sub- section (1) of section 80HHC of the In-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come-tax Act, in respect of export turnover of Rs.........................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…………………………………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principal officer*/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proprietor/partner of the Export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House/Trading House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 I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I,……………………………………………………………………………….… principal  officer/propri-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etor*/partner* of M/s...................................………………………………………………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 House/Trading House)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 hereby declare that what is stated above is true and correct.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Verified today, the.............day of.............……..  ….......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…………………………..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 of the principal officer/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*proprietor/*partner of the Export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House/Trading House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 II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I/We* have examined the accounts and records of ......................................…………………….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 House/Trading House)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 relating to the business of export out of India of the goods and merchandise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carried on by it during the previous year relevant to the assessment year....................................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*my/our opinion and to the best of *my/our information and according to the explanation given to *me/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us, the particulars given above are true and correct.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Date………….........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</w:rPr>
      </w:pPr>
      <w:r w:rsidDel="00000000" w:rsidR="00000000" w:rsidRPr="00000000">
        <w:rPr>
          <w:i w:val="1"/>
          <w:smallCaps w:val="0"/>
          <w:color w:val="000000"/>
          <w:rtl w:val="0"/>
        </w:rPr>
        <w:t xml:space="preserve">$Accountant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$Verification II is to be made by-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 (38 of 1949):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who, in relation to any State, is, by virtue of the provisions in sub-section (2) of section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226 of the Companies Act. 1956(1 of 1956), entitled to be appointed to act as an auditor of compa-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nies registered in that State.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Where any of the matter stated in this report is answered in the negative or with a qualification, the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 therefor.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