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27ED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206C read with rule 37E]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Half-yearly return of collection of tax under section 206C from buyers of any other forest produce not being timber or tendu leaves for the period ending</w:t>
        <w:tab/>
        <w:tab/>
        <w:tab/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62" w:hanging="16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Details of the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seller change since submitting the last return     Tick</w:t>
        <w:tab/>
        <w:t xml:space="preserve"> as applicable Yes           No</w:t>
        <w:tab/>
        <w:t xml:space="preserve"> 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gross amount debited/received under and tax  thereon section 206C:</w:t>
      </w:r>
    </w:p>
    <w:tbl>
      <w:tblPr>
        <w:tblStyle w:val="Table2"/>
        <w:tblW w:w="82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139.9999999999995"/>
        <w:gridCol w:w="1110"/>
        <w:gridCol w:w="1170"/>
        <w:tblGridChange w:id="0">
          <w:tblGrid>
            <w:gridCol w:w="2808"/>
            <w:gridCol w:w="1980"/>
            <w:gridCol w:w="1139.9999999999995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Buyer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debited/received during the half-yearly period  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collected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collected and paid  to the  Central Government :</w:t>
      </w:r>
    </w:p>
    <w:p w:rsidR="00000000" w:rsidDel="00000000" w:rsidP="00000000" w:rsidRDefault="00000000" w:rsidRPr="00000000" w14:paraId="000002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collecting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received /debited from buyers and of tax collected at source under section 206C :  :</w:t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buyers, being companies:</w:t>
      </w:r>
    </w:p>
    <w:tbl>
      <w:tblPr>
        <w:tblStyle w:val="Table5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</w:t>
      </w:r>
    </w:p>
    <w:p w:rsidR="00000000" w:rsidDel="00000000" w:rsidP="00000000" w:rsidRDefault="00000000" w:rsidRPr="00000000" w14:paraId="00000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In the case of buyers, other than companies:</w:t>
      </w:r>
    </w:p>
    <w:tbl>
      <w:tblPr>
        <w:tblStyle w:val="Table6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</w:t>
        <w:tab/>
        <w:tab/>
        <w:tab/>
        <w:tab/>
        <w:tab/>
        <w:t xml:space="preserve">, certify that all the particulars furnished above are correct and complete.</w:t>
      </w:r>
    </w:p>
    <w:p w:rsidR="00000000" w:rsidDel="00000000" w:rsidP="00000000" w:rsidRDefault="00000000" w:rsidRPr="00000000" w14:paraId="00000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</w:t>
      </w:r>
    </w:p>
    <w:p w:rsidR="00000000" w:rsidDel="00000000" w:rsidP="00000000" w:rsidRDefault="00000000" w:rsidRPr="00000000" w14:paraId="00000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ab/>
        <w:tab/>
        <w:t xml:space="preserve">Designation.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