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30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41]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Claim for refund of tax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..............................................……………, of....................................………………do hereby state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[address]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my total income computed in accordance with the provisions of the Income-tax Act, 1961, during the year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ending on............being the previous year for the assessment year commencing on the 1st April, …......, amounted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Rs. ..........; that the total income-tax chargeable in respect of such total income is Rs. ..........and that the total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of income-tax paid, or treated as paid under section 199, is Rs.............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therefore, request for a refund of Rs............……..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..............................…………………..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resident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resident but not ordinarily resident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declare that I was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during the previous year relevant to the assessment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non - resident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to which this claim relates and that what is stated in this application is correct.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Dated...................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……...............................…………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claim should be accompanied by a return of income in the prescribed form unless the claimant has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already made such a return to the Assessing Officer.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Persons who are non-resident and whose total income is made up only of income taxed at source should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make the claim for refund to the Assessing Officer, Non-resident Refund Circle, Bombay.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Where any part of the total income consists of dividends, or any other income from which tax has been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deducted under the provisions of sections 192 to 194, section 194A and section 195, the claim should be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accompanied by the certificates prescribed under section 203.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