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35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45]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Appeal to the Commissioner of  Income-tax (Appeals)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 of the Commissioner (Appeals)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*No. ……….. of …….   …… - ……..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Name and address of the appellant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Permanent Account Number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*Assessment year in connection with which the appeal is Preferred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Assessing Officer/Valuation Officer passing the order appealed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and sub-section of the Income-tax Act, 1961, under which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Officer/ Valuation Officer passed the order appealed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against and the date of such order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the appeal relates to any tax deducted under section 195(1),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date of payment of the tax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the appeal relates to any assessment or penalty, the date of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service of the relevant notice of demand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any other case, the date of service of the intimation of the order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appealed against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and clause of the Income-tax Act, 1961, under which the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appeal is preferred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a return has been filed by the appellant for the assessment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in connection with which the appeal is preferred, whether tax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due on the income returned has been paid in full (if the answer is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affirmative, give details of date of payment and amount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paid)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no return has been filed by the appellant for the assess-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year in connection with which the appeal is preferred, whether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 amount equal to the amount of advance tax payable by him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during the financial year immediately preceding such assessment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has been paid (If the answer is in the affirmative, give details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date of payment and amount paid)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$Relief claimed in appeal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an appeal in relation to any other assessment year is pending in the case of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appellant with any Commissioner (Appeals), give the details as to the-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Commissioner (Appeals), with whom the appeal is pending;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assessment year in connection with which the appeal has been preferred;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Assessing Officer passing the order appealed against;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section and sub-section of the Act, under which the Assessing Officer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passed the order appealed against and the date of such order]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 to which notices may be sent to the appellant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………….............…….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(Appellant)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$STATEMENT OF FACTS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$GROUNDS OF APPEAL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………….......…….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(Appellant)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Form of verification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I,...................................…………………., the appellant, do hereby declare that what is stated above is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true to the best of my information and belief.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Status of appellant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form of appeal, grounds of appeal and the form of verification appended thereto shall be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signed by a person in accordance with the provisions of rule 45(2).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memorandum of appeal, statement of facts and the grounds of appeal must be in duplicate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should be accompanied by a copy of the order appealed against and the notice of demand in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original, if any.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Delete the inappropriate words.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*These particulars will be filled in in the office of the Commissioner (Appeals).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#Not to be filled in if the appeal relates to tax deducted under section 195(1).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$If the space provided herein is insufficient, separate enclosures may be used for the purpose.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If appeals are pending in relation to more than one assessment year, separate particulars in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respect of each assessment year may be given.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The memorandum of appeal shall be accompanied by a fee of :-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where the total income of the assessee as computed by the Assessing Officer in the case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which the appeal relates is one hundred thousand rupees or less, two hundred fifty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rupees;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where the total income of the assesse, computed as aforesaid, to which the appeal relates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 more than one hundred thousand rupees but not more than two hundred thousand ru-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pees, five hundred rupees;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where the total income of the assessee, computed as aforesaid, in the case to which the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appeal relates is more than two hundred thousand rupees, one thousand rupees.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The fee should be credited in a branch of the authorised bank or a branch of the State Bank of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 or a branch of the Reserve Bank of India after obtaining a challan from the Assessing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Officer and a copy of challan sent to the Commissioner of Income-tax (Appeals).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