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37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48]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Reference application under section 256(1)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INCOME-TAX APPELLATE TRIBUNAL..............................…………………………....................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MATTER OF THE ASSESSMENT OF....................................……….............[name of the assessee]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R.A. No. ....................................... of ........................................  ......................... [to be filled in by the office]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Versus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 ………………………..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APPLICANT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RESPONDENT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State from which the application is filed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 and number of the appeal which gives rise to the reference ………………………….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applicant states as follows :-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that  the  appeal  noted  above  was  decided  by  the.....................................Bench   of  the  Tribunal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on......................................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that notice of the order under sub-section (1) of section 254 of the Income-tax Act, 1961, was served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on the applicant on......................................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that the facts which are admitted and/or found by the Appellate Tribunal and which are necessary for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drawing up a statement of the case, are stated in the enclosure for ready reference.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4. that the following questions of law arise out of the order of the Appellate Tribunal:—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(1)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(2)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(3)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that the applicant, therefore, requires under sub-section (l)of  section 256 of the aforesaid Act, that a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statement of the case be drawn up and the questions of law numbered...........out of the questions of law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referred to in paragraph 4 above be referred to the High Court.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that the  date on which the return of income, for the assessment  year in connection with which  the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reference application is being made, was filed is......................... and the date on which the assessee was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served   with  a notice   calling  upon  him  to   file  the   return  of  income  for  that assessment  year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is......................................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that the documents or copies thereof  as specified below (the translation in English of the documents,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where necessary, is annexed)  be forwarded to the High Court with the statement of the case.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Signed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(Authorised representative, if any)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 (Applicant)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application when made by an assessee be accompanied, by a fee specified below:—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in a case where the assessment proceedings were initiated before the 1st day of April, 1971, Rs.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100;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in a case where the assessment proceedings were  initiated after 31st day of March, 1971 but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before the 1st day of  June, 1981, Rs. 125;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in any other case.  Rs.  200.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the purpose of this Note,  the assessment proceedings shall be deemed to have been initiated on either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dates referred to in paragraph 6, whichever is earlier. It is suggested that the fee should be credited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a branch of the authorised bank or a branch of the State Bank of India or a branch of the Reserve Bank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India, after obtaining a challan from the Assessing Officer  and the triplicate challan sent to the Appel-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late Tribunal with  the  application. The  Appellate Tribunal will not  accept cheques,  drafts,  hundies or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other negotiable instruments.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