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37F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48F]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of appeal to the Appellate Tribunal against order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competent authority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THE INCOME-TAX APPELLATE TRIBUNAL..............................……………………..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*Appeal No....................................…………………………. of …………………………………….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Versus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APPELLANT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RESPONDENT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The  State/Union territory in  which  the  office  of  the  competent au-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thority passing the order appealed against is situate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The competent authority passing the order appealed against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Date of the order  appealed against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4. $ Date of service of a copy of the order appealed against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Address to which notices may be sent to the appellant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Address to which notices may be sent to the respondent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7. # Relief claimed in appeal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#GROUNDS OF APPEAL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2.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3.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4., etc.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………………………..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(Appellant)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 ......................................……….. the appellant, do hereby  declare  that  what is stated above is true  to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best of my information and belief.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Verified today the...................................………. of.............  .....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………………………..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(Appellant)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Note: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The memorandum of appeal must be in triplicate and should be accompanied by two copies (at least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one of which should be a certified copy) of the order appealed against.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The memorandum of appeal must be accompanied by a fee of Rs. 125 in a case where the proceed-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ings for acquisition of the immovable property have been  commenced  before the  1st  day of June.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1981 and Rs.200 in any other case. It is suggested that the fee should be credited in a branch of the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authorised bank or a branch of the State Bank of India or a branch of the Reserve Bank of India after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obtaining  a challan  from  the  competent  authority  and  the  triplicate  challan  sent  to  the Appellate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Tribunal with the memorandum of appeal.  The Appellate Tribunal will not accept cheques, drafts,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hundies or other negotiable instruments.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The memorandum of appeal should be written in English or, if the appeal is filed in a Bench located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any such State as is for the time being notified by the President of the Appellate Tribunal for the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purposes of rule 5A of the Income-tax (Appellate Tribunal) Rules, 1963, then at the option of the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appellant, in Hindi, and should set forth, concisely and under distinct heads, the grounds of appeal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without any argument or narrative and such grounds should be numbered consecutively.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*The number and year of appeal will be filled in in the office of the Appellate Tribunal.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5. $ To be filled in only where the appeal is preferred by the transferor, the transferee or by a person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who had made objections before the competent authority against acquisition of the property.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6. # If the space is found insufficient, separate enclosures may be used for the purpose.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