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FORM. NO. 37G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48G]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Statement to be furnished to the registering officer under section 269P(1)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the Income-tax Act, 1961, along with the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instrument of transfer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and address of the transferor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 Name and address of the transferee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*Detailed  description,  location and  other  particulars of  the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property transferred as given in the instrument of transfer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Whether  land is freehold or leasehold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In the case of building-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floorwise plinth area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year or years in which the building was constructed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Name and address of person(s)i  if any, in occupation of  the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property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7. $Name and address  of  any  other  person(s)  interested  in  the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property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Consideration for transfer as stated in the instrument of trans-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fer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9. #Estimated fair market value of the property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If the transfer is by way of exchange, description and loca-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tion of  the thing or things for which the property is exchanged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11. #Fair market  value  of  the  thing or things  mentioned  against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item 10.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If the consideration for  transfer is less than the estimated fair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market value—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whether the transferee is a relative of the transferor, and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if so,  indicate relationship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whether a recital to the effect that the transfer is made to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relatives for a consideration less than the fair market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value  on account of natural love  and  affection is made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the instrument of transfer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13. Was any agreement to sell the property registered under the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Registration Act, 1908? If  so-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date of conclusion of the agreement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date and registration number of  the agreement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consideration for transfer recorded in the agreement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………………………………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the transferee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......................................………………………………, do hereby declare that what is stated above is true to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best of my knowledge and belief.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 the............day of.....…….   …......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the transferee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*If the space is insufficient, separate enclosures may be used for the purpose.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2.. $ “Person  interested”,  in  relation  to any  immovable  property,  includes  all  persons  claiming  or  en-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titled to claim an interest in the compensation payable on account of the acquisition of the property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under Chapter  XXA of the Income-tax Act, 1961.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#  “Fair market value”, in relation to any immovable property transferred, means the price that immov-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able  property  would  ordinarily  fetch  on  sale  in  the  open  market  on  the  date  of  execution  of  the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instrument of transfer of such property.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