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32"/>
          <w:szCs w:val="32"/>
          <w:rtl w:val="0"/>
        </w:rPr>
        <w:t xml:space="preserve">FORM NO. 3CC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(See Rule 6G [1] [c])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Audit report under section 44AB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in the case of a person carrying on profession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*I/We have examined the balance sheet of  ___________________________________________________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__________________________________________________ (name &amp; address of the assessee)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Permanent Account No. ______________________________ as at ___________________________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*the profits and loss account/the income and expenditure statement for the year ended on that date which are in agreement with the books of account maintained at the head office at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____________________________________ and branches at ______________________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I/We have obtained all the information and explanations which to the best of *my/our knowledge and belief were necessary for the purpose of the audit. In *my/our opinion, proper books of account have been kept by the head office and the branches of the assessee so far as appears from *my/our examination of books, subject to the comments given below 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*my/our opinion and to the best of *my/our information and according to explanations given to *me/us, the said accounts give a true and fair view ---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the case of the balance sheet, of the state of abovenamed assessee’s affairs as at ____________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________________________ and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the case of *the profit and loss account/the income and expenditure statement, of *the profit or       income or loss of the abovenamed assessee for the accounting year ending on ___________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prescribed particulars are furnished in Form No. 3CE annexed hereto. In *my/our opinion and to the best of *my/our information and according to explanations given to *me/us, these are true and correct.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Place : __________________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 : ___________________</w:t>
        <w:tab/>
        <w:t xml:space="preserve">___________________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Signed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ab/>
        <w:t xml:space="preserve">+Accountant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Notes</w:t>
      </w:r>
      <w:r w:rsidDel="00000000" w:rsidR="00000000" w:rsidRPr="00000000">
        <w:rPr>
          <w:smallCaps w:val="0"/>
          <w:rtl w:val="0"/>
        </w:rPr>
        <w:t xml:space="preserve"> :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ind w:left="360" w:hanging="360"/>
      </w:pPr>
      <w:r w:rsidDel="00000000" w:rsidR="00000000" w:rsidRPr="00000000">
        <w:rPr>
          <w:rFonts w:ascii="Arial" w:cs="Arial" w:eastAsia="Arial" w:hAnsi="Arial"/>
          <w:smallCaps w:val="0"/>
          <w:sz w:val="16"/>
          <w:szCs w:val="16"/>
          <w:rtl w:val="0"/>
        </w:rPr>
        <w:t xml:space="preserve">*Delete whichever is not applicable.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ind w:left="360" w:hanging="360"/>
      </w:pPr>
      <w:r w:rsidDel="00000000" w:rsidR="00000000" w:rsidRPr="00000000">
        <w:rPr>
          <w:rFonts w:ascii="Arial" w:cs="Arial" w:eastAsia="Arial" w:hAnsi="Arial"/>
          <w:smallCaps w:val="0"/>
          <w:sz w:val="16"/>
          <w:szCs w:val="16"/>
          <w:rtl w:val="0"/>
        </w:rPr>
        <w:t xml:space="preserve">Where any of the matters stated in this report is answered in the negative or with a qualification, the report shall state the reasons therefor.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ind w:left="360" w:hanging="360"/>
      </w:pPr>
      <w:r w:rsidDel="00000000" w:rsidR="00000000" w:rsidRPr="00000000">
        <w:rPr>
          <w:rFonts w:ascii="Arial" w:cs="Arial" w:eastAsia="Arial" w:hAnsi="Arial"/>
          <w:smallCaps w:val="0"/>
          <w:sz w:val="16"/>
          <w:szCs w:val="16"/>
          <w:rtl w:val="0"/>
        </w:rPr>
        <w:t xml:space="preserve">+ This report has to be given by :-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rPr>
          <w:rFonts w:ascii="Arial" w:cs="Arial" w:eastAsia="Arial" w:hAnsi="Arial"/>
          <w:smallCap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ind w:left="288" w:firstLine="0"/>
      </w:pPr>
      <w:r w:rsidDel="00000000" w:rsidR="00000000" w:rsidRPr="00000000">
        <w:rPr>
          <w:rFonts w:ascii="Arial" w:cs="Arial" w:eastAsia="Arial" w:hAnsi="Arial"/>
          <w:smallCaps w:val="0"/>
          <w:sz w:val="16"/>
          <w:szCs w:val="16"/>
          <w:rtl w:val="0"/>
        </w:rPr>
        <w:t xml:space="preserve">a chartered accountant within the meaning of the Chartered Accountants Act, 1949 (38 of 1949); or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ind w:left="288" w:firstLine="0"/>
      </w:pPr>
      <w:r w:rsidDel="00000000" w:rsidR="00000000" w:rsidRPr="00000000">
        <w:rPr>
          <w:rFonts w:ascii="Arial" w:cs="Arial" w:eastAsia="Arial" w:hAnsi="Arial"/>
          <w:smallCaps w:val="0"/>
          <w:sz w:val="16"/>
          <w:szCs w:val="16"/>
          <w:rtl w:val="0"/>
        </w:rPr>
        <w:t xml:space="preserve">any person who, in relation to any State, is, by virtue of the provisions of sub-section (2) of section </w:t>
        <w:br w:type="textWrapping"/>
        <w:t xml:space="preserve">        226 of the Companies Act, 1956 (1 of 1956), entitled to be appointed to act as an auditor of </w:t>
        <w:br w:type="textWrapping"/>
        <w:t xml:space="preserve">        companies registered in that State.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rPr>
          <w:rFonts w:ascii="Arial" w:cs="Arial" w:eastAsia="Arial" w:hAnsi="Arial"/>
          <w:smallCap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rPr>
          <w:rFonts w:ascii="Arial" w:cs="Arial" w:eastAsia="Arial" w:hAnsi="Arial"/>
          <w:smallCap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rPr>
          <w:rFonts w:ascii="Arial" w:cs="Arial" w:eastAsia="Arial" w:hAnsi="Arial"/>
          <w:smallCap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Roman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Roman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Roman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Roman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Roman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Roman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