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FORM. NO. 42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81]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Appeal against refusal to recognise or withdrawal of recognition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from a provident fund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Secretary,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Central Board of Direct Taxes,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New Delhi.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petition of ………........................................ employer(s) carrying on business or profession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 at ........................................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Your petitioner(s) applied to (obtained sanction from) the Chief Commissioner or Commissioner of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Income-tax under rule 3(1) of Part A of the Fourth Schedule to the Income-tax Act, 1961, for the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recognition of the provident fund maintained by him (them) for the benefit of his (their)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employees, The Chief Commissioner or Commissioner of Income-tax has refused recognition (with-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drawn recognition) for the reasons stated in his order dated .................................... of which a copy is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attached.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For the reasons set out below your petitioner(s) submit(s) that the fund should be (continued to be)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recognised and pray(s) that the Central Board of Direct Taxes may be pleased to direct  the Chief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Commissioner or Commissioner of Income-tax to  accord recognition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continue the recognition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GROUNDS OF APPEAL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etc.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We/I, ........................................ the petitioner(s) named in the above petition, do declare that what is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stated therein is true to the best of our/my information and belief.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 ...........................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…………………………..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Address of the appellant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 :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Delete the inappropriate words or letters.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The appeal should be accompanied by a fee of rupees one hundred. It is suggested that the fee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should be credited in a branch of the authorised bank or a branch of the State Bank of India or a branch of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Reserve Bank of India after obtaining a challan from the Assessing Officer and the triplicate challan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sent to the Board with the appeal. The Board will not accept cheques, drafts, hundies or other negotiable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instruments.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