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43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97]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Appeal against refusal to approve or withdrawal of approval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from a superannuation fund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Secretary,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Central Board of Direct Taxes,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New Delhi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petition of ..........................…………. employer(s) carrying on business or profession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 at 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Your petitioner(s) applied to (obtained sanction from) the Chief Commissioner or Commissioner of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under rule 4(1)/[2(1)] of Part B of the Fourth Schedule to the Income-tax Act, 1961, for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approval of the superannuation fund maintained by him (them). The Chief Commissioner or Commis-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sioner  of Income-tax has refused approval (withdrawn approval) for the reasons stated in his order dated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 of which a copy is attached.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reasons set out below your petitioner(s) submit(s) that the fund should he (continued to be)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approved and pray(s) that the Central Board of Direct Taxes may be pleased to direct   the Chief Commis-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sioner or Commissioner of Income-tax to  accord recognition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continue the recognition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GROUNDS OF APPEAL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We/I, ……………….................................... the petitioner(s) named in the above petition, do declare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 what is stated therein is true to the best of our/my information and belief.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………………………………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the appellant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Delete the inappropriate words or letters.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appeal should be accompanied by a fee of rupees one hundred. It is suggested that the fee should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 credited in a branch of the authorised bank or a branch of the State Bank of India or a branch of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Reserve Bank of India after obtaining a challan from the Assessing Officer  and  the  triplicate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challan  sent to the  Board with the appeal.  The Board will not  accept cheques,  drafts,  hundies  or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other negotiable instruments.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