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45D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112E]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Information to Be furnished to the income-tax authority under section 133B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Name, address and telephone No. of the business/profession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Nature of business/profession and the year in which it was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started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Status in which the business/profession is carried on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(Please mark the appropriate status)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Individual/Partnership firm/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Company/ Hindu undvided family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(HUF)/ Accosiciation of persons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(AOP)/Body of individuals (BOI)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Names and residential addresses of proprietor/partners/mem-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bers of AOP or BOI/directors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Permanent Account Number (PAN)/General Index Register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(GIR) and designation and place of the Assessing Of-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ficer assessing the business/profession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Latest assessment year for which a return of income filed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the income shown therein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Year in which the premises acquired (if rented, rent paid and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self-owned, price paid)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Number of employees in the business/profession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List of the books of account maintained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Nature and number of bank account(s) with name and ad-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dress of the concerned bank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(a) Gross sales/receipts: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for the preceding financial year;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for the current financial year (up to date).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Sales tax Registration Number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Value of the stock (approximate):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As on 31st March of the preceding financial year;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As on this date.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Particulars of cars and other vehicles, if any, owned by the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business/profession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Income from all sources for the immediately preceding year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ending 31st March, ….....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...........…………………………………………............................ my capacity as director/partner/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in full and in block letters]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proprietor/employee .............................………… (specify the capacity as attending to or helping in such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or profession) declare that the information furnished above is true and correct to the best of my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knowledge and belief.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 ……………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of the person furnishing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above information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form shall be filled in duplicate.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*The assessee who has  filed the return of  income from the preceding assessment year need not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furnish information in columns 7 to 14.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