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information under clause (b) of sub-section (1)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section 138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Chief Commissioner or Commissioner of Income-tax,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request you to furnish information relating to…………………………...........…………………………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[here give name, status and complete address of the assessee]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respect of the assessment year commencing on the 1st day of April …...., on the following points: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The above information is required by me for  the following reasons: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.….…....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Dated.............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…………………………………….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applicant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of the applicant)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(in capital letters)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Father’s/Husband’s name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………………………………….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…………………………………..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Full address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A separate application has to be made in respect of each assessee and in respect of each assessment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 Regarding status, state whether the person about whom the information is required is an individual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firm. etc.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