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47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for furnishing information under clause (b) of sub-section (1) of section 138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Office of the..........……………………......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reference to your application dated.……….......... under clause( b) of sub-section (1) of section 136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  the   Income-tax   Act,   1961,   requesting for information relating to ………………………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 in respect of the assessment year commencing on the 1st day of April,  ………….,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said information/information respecting item Nos. ………………… of the said, application is given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below:—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 and address of the assessee 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Status 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Assessment year 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3 .......................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5. ......................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etc.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I/Chief Commissioner or Commissioner of  Income-tax, ………….......…………………. am/is not sat-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isfied that it is in the public interest to furnish information respecting item Nos. ..........of your applica-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tion and the information relating thereto is accordingly refused.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authority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furnishing the information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Note: Delete inappropriate words.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