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54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123]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under section 281A(2) for obtaining a certified copy of notice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under section 281A*(1)/281*(1A)/281A*(1B)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the Income-tax Act, 1961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Chief Commissioner or Commissioner of Income-tax,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………………………………………………………………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………………………………………………………………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Sir,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is to state that the property, particulars of which are given hereunder, is held by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……………………………………………………………….………………………………..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and address of benamidar]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 *my/our benamidar.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DETAILED DESCRIPTION OF THE PROPERTY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Notice under section 281A*(1)/281A*(1A)/281A*(1B) in respect of the aforesaid property was given by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*me/us on the ...........……….. day: of.........…….  .........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 *I/we propose to institute a suit to enforce *my/our right in the aforesaid property in the Court of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……….......... it is requested that the certified copy of the notice under section 281A*(1)/ 281A*(1A)/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281A*(1B) may be issued to *me/us.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*I/We enclose a receipted treasury challan for Rs. 2 evidencing payment of the prescribed fee$.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Place.....................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………………………………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Date.....................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Permanent Account No.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………………………………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 Delete whichever is not applicable.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$  The prescribed fee should be credited in a branch of the authorised bank or a branch of the State Bank of India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the Resave Bank of India after obtaining a challan from the Assessing Officer.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