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56B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clause (c) of sub-rule (4) of rule 2D]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Condensed financial information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Income statement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YEARS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First Year Second Year Third Year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(Mention years also)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Sources of income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Dividend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Trading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Other income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Total income [(a)+ (b)+(c)] Rs. ................. ......................... ........................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Expenses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Director’s remuneration Rs. ................. ......................... ........................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Trusteeship fees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Custodian fees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Registrar’s fees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(e)  Other expenses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Total expenses [(a)+ (b)+(c)+(d)+(e)] Rs. ................. ......................... ........................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Gross profit (1—2)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Depreciation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Net profit before tax (3—4) Rs. ................. ......................... ........................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6. Tax (income-tax)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Profit after tax (5—6)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 ......................... ........................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8. Income distributed/dividend declared Rs. ................. ......................... ........................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9. Retained earnings (7—8) Rs. ................. ......................... ........................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 ....................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.............................................................................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 and designation of the applicant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