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59A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20A]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 approval of mutual funds investing in the eligible issue of public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companies under section 88(2)(xvii) of the Income-tax Act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Name of the Mutual Fund and the address of its registered office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Details of the trustees of the fund such as names, addresses, their pro-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fessional experience, etc.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Objects of the fund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Main objects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Ancillary objects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(Enclose a copy of the Mutual Fund deed)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Whether registered with SEBI; if yes, please specify the date and the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number of the order (enclose a copy of the SEBI’s order)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Whether notified under section 10(23D) of the Income-tax Act; if yes,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please specify the date and the number of the order (enclose a copy of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order)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6. Details of the custodians (enclose a copy of the custodian agreement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 mutual fund)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7. Details of Asset Management company such as names of directors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 their experience, qualifications and profession, and whether re-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lated to the trustees (enclose a copy of the audited balance sheet for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last 3 years)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8. Plan-wise details of various schemes launched so far and the applica-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 of their proceeds (enclose audited balance sheet for last 3 years)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9. Details of the proposed scheme to be launched for the purpose of sec-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 88(2)(xvii), such as number of units, face value, total amount to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 mobilised, etc. (enclose a copy of the approval by the SEBI)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Name and address of the public company in whose public issue sub-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scription is proposed to be made, along with the details of the issue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(enclose a copy of the approval of the public issue by the Board)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Names and addresses of the Bankers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Names and addresses of the auditors.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..................................................................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(Signatures of the authorised signatory)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Verificotion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I,…………………………………………………certify that the information furnished above is true to the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best of my knowledge and belief.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..................................................................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(Signatures of the authorised signatory)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Note: The application form (in duplicate) should be sent to the Board by the Mutual Fund along with the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documents as mentioned in the application form.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