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9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[See rule 16C]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 grant of approval or continuance thereof to a fund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under section 10(23AAA) 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of the organisation (in which the members of the fund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are employed) in full (in block letters)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Address of the office of the trust/fund where the accounts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are kept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Objects of the fund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Names and addresses of trustees/office bearers of the fund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Classes and number of employees admitted to the fund-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in India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outside India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Assessment particulars-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Ward/Circle where assessed and permanent account num-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ber/GIR number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 7.  Source of funds/annual accretion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 8. Whether the trust proposes to accumulate funds for achieve-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 of the purposes mentioned in item (3) above and if so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manner thereof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 9. (i) Details of modes in which  the  funds  are invested or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deposited, showing the nature, value and income from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investment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Whether any funds have been invested in the modes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[other than those specified in section 11(5)]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certify that the information furnished above is true to the best of my knowledge and belief.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undertake to communicate forthwith any alteration in the terms or in the rules governing the fund made at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any time hereafter.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………………………..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Designation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………………………..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Notes:The application form (in triplicate) should be sent to the Commissioner of Income-tax having juris-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diction over the fund along with the following documents :-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(i) A copy of instrument of trust evidencing the formation of the fund.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(it) Notes on activities of the fund since its inception or during the last three years, whichever is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less.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Copies of accounts of the fund since its inception or during the last three years, whichever is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less.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