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FORM O-11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rule 2(9) of Schedules III]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Certificate of quoted shares/debentures of a company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8"/>
        <w:gridCol w:w="360"/>
        <w:gridCol w:w="2627.9999999999995"/>
        <w:tblGridChange w:id="0">
          <w:tblGrid>
            <w:gridCol w:w="5868"/>
            <w:gridCol w:w="360"/>
            <w:gridCol w:w="262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This certificate relates to the period of one year ending on the 31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mallCaps w:val="0"/>
                <w:rtl w:val="0"/>
              </w:rPr>
              <w:t xml:space="preserve"> day of March, 19 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Name of the company with address of registered office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Nature of the instrument, whether it is a preference or equity share or a debenture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Number of occasions the share/debenture has been transacted during the year in ordinary course of business of the stock exchange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Value if the share/debenture as quoted on the 31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mallCaps w:val="0"/>
                <w:rtl w:val="0"/>
              </w:rPr>
              <w:t xml:space="preserve"> day of March of the year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If the share/debnenture is not quoted on the date mentioned in column 5, the value as quuuoted on a date immediatly preceding the date mentioned in the that column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</w:tabs>
        <w:ind w:left="3240" w:hanging="360"/>
      </w:pPr>
      <w:r w:rsidDel="00000000" w:rsidR="00000000" w:rsidRPr="00000000">
        <w:rPr>
          <w:smallCaps w:val="0"/>
          <w:rtl w:val="0"/>
        </w:rPr>
        <w:t xml:space="preserve">Signature and name of the office bearer.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</w:tabs>
        <w:ind w:left="3240" w:hanging="360"/>
      </w:pPr>
      <w:r w:rsidDel="00000000" w:rsidR="00000000" w:rsidRPr="00000000">
        <w:rPr>
          <w:smallCaps w:val="0"/>
          <w:rtl w:val="0"/>
        </w:rPr>
        <w:t xml:space="preserve">Official address</w:t>
      </w:r>
    </w:p>
    <w:p w:rsidR="00000000" w:rsidDel="00000000" w:rsidP="00000000" w:rsidRDefault="00000000" w:rsidRPr="00000000" w14:paraId="0000001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Seal of the stock Exchange]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1"/>
      <w:smallCaps w:val="0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