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8D]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Report of valuation of mines and quarries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QUESTION TO BE ANSWERED BY THE REGISTERED VALUER.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ANY PARTICULAR QUESTION DOES NOT APPLY TO THE PROPERTY UNER VALUATION, HE MAYINDICATE SO. IF THE SPACE PORVIDED NOT SUFFICIENT, DETAILS MAY BE ATTACHED ON SEPARTE SHEETS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8"/>
        <w:gridCol w:w="3780"/>
        <w:tblGridChange w:id="0">
          <w:tblGrid>
            <w:gridCol w:w="5598"/>
            <w:gridCol w:w="378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Name of registered valuer </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Registration No.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for which valuation is made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 as on which valuation is made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 of the woner/owner(s) of the mine(s)/quarry(ies)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mine/qurry is under joint ownership/co-ownership, share of each owner: Are the share undivided?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name and location of the mine(s)/quarry(ies)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Area of fo mine(s)/quarry(ies)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Valuation of the mine(s)/quarry(ies) excluding machinery, plant, buildings and furniture and fittings [ the valuer should be discuss in details the factors which have been taken into account including the average annual output during the past three years, the extractable reserves, the area available for extraction, the thickness of the seam, the stage of development, depillaring. Geological disturbances, etc.]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hereby declare that__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tab/>
              <w:t xml:space="preserve">the information furnished above is true and correct to the best of my knowledge and belief;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tab/>
              <w:t xml:space="preserve">I have no direct or indirect interest in mine(s)/quarry(ies) valued;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4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tab/>
              <w:t xml:space="preserve">I have personally inspected the mine(s)/qurry(ies)  and I have exemined the revenue records of village/tehsil/district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Place:</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Signature of registered valuer</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