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FORM O-7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8D]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 of valuation of machinery and plant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QUESTION TO BE ANSWERED BY THE REGISTERED VALUER.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 PARTICULAR QUESTION DOES NOT APPLY TO THE PROPERTY UNER VALUATION, HE MAYINDICATE SO. IF THE SPACE PORVIDED NOT SUFFICIENT, DETAILS MAY BE ATTACHED ON SEPARTE SHEETS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98"/>
        <w:gridCol w:w="3780"/>
        <w:tblGridChange w:id="0">
          <w:tblGrid>
            <w:gridCol w:w="5598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registered valuer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Registration 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Purpose for which valuation is made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as on which valuation is made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the owner(s) of the machinery/plant, under valuation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If the asset is under joint ownership/co-ownership, share of each owner: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 of the machinery/plant and the purpose for which it is utilised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Valuation of the machinery/plant </w:t>
              <w:br w:type="textWrapping"/>
              <w:t xml:space="preserve">[ the valuer should be discuss in details the make of the machubery/plant, name of the manufacturer, original price, price to the owner if he is not the first owner, year of manufacture, present markent price of similar new machinery/plant, and other relevant factors]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hereby declare that-----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(a)</w:t>
              <w:tab/>
              <w:t xml:space="preserve">the information furnished above is true and correct to the best of my knowledge and belief;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(b)</w:t>
              <w:tab/>
              <w:t xml:space="preserve">I have no direct or indirect interest in the machinery/plant valued;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64"/>
              </w:tabs>
              <w:spacing w:after="0" w:before="0" w:line="240" w:lineRule="auto"/>
              <w:ind w:left="864" w:right="0" w:hanging="432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(c)</w:t>
              <w:tab/>
              <w:t xml:space="preserve">I have perosnally inspected the machinery/plant.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Place: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Signature of registered valuer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