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O-8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8D]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of valuation of jewellery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QUESTION TO BE ANSWERED BY THE REGISTERED VALUER.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 PARTICULAR QUESTION DOES NOT APPLY TO THE PROPERTY UNER VALUATION, HE MAYINDICATE SO. IF THE SPACE PORVIDED NOT SUFFICIENT, DETAILS MAY BE ATTACHED ON SEPARTE SHEETS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8"/>
        <w:gridCol w:w="2970"/>
        <w:tblGridChange w:id="0">
          <w:tblGrid>
            <w:gridCol w:w="6408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registered valuer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 for which valuation is made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as on which valuation is made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the owner(s) of the jewellery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the asset is under joint ownership/co-ownership, share of each owner: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of each item of jewellery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gross weight of each item of jewellery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Nwt weight of precious mental, such as gold, silver, platinum, etc., in each of jewellery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of each precious or semi-precious stone whether or not set in any ornament, wearing apparel, etc.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 of each such precious or semi-precious stone in carats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of each precious or semi-precious stone and the total value of all such stones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of the precious metal content in all the items of jewellery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value of the jewellery</w:t>
              <w:br w:type="textWrapping"/>
              <w:t xml:space="preserve">[The valuer should discuss the special features, if any, of the jewellery, such as its antique value, aesthetic value, etc.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hereby declare that-----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the information furnished above is true and correct to the best of my knowledge and belief;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I have no direct or indirect interest in the jewellery valued;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  <w:tab/>
              <w:t xml:space="preserve">I have perosnally inspected the jewellery.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 of registered valuer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