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O-9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8D]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of valuation of works of 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QUESTION TO BE ANSWERED BY THE REGISTERED VALUER.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 PARTICULAR QUESTION DOES NOT APPLY TO THE PROPERTY UNER VALUATION, HE MAYINDICATE SO. IF THE SPACE PORVIDED NOT SUFFICIENT, DETAILS MAY BE ATTACHED ON SEPARTE SHEETS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8"/>
        <w:gridCol w:w="2970"/>
        <w:tblGridChange w:id="0">
          <w:tblGrid>
            <w:gridCol w:w="6408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registered valuer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 for which valuation is made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as on which valuation is made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the owner(s) of the asset valued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the asset is under joint ownership/co-ownership, share of each owner: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 description of the asset valued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Valuation of the work(s) of art</w:t>
              <w:br w:type="textWrapping"/>
              <w:t xml:space="preserve">(The valuer should discuss in detail different factors which have been taken into account in arriving at the valuation]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hereby declare that-----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the information furnished above is true and correct to the best of my knowledge and belief;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I have no direct or indirect interest in the work(s) of art valued;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  <w:tab/>
              <w:t xml:space="preserve">I have perosnally inspected the work(s) of art.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 of registered valuer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