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ALIMONY PENDENTE LITE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Application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alimony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36 of the Special Marriage Act. 1954 (No. 43 of 1954).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prays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proceeding under Chapter V/VI of the Act is pending in this Court between the parties. (Give the number and title of the case, date of hearing etc.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applicant owns no other movable or immovable property, and has no other income except (Give full particulars of the applicant’s property and income etc.).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applicant has no Independent income sufficient for her support and for the necessary expenses of the proceedings.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respondent has sources of income and owns property mentioned below: (Give full particulars about respondent’s income and property etc.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only person dependent upon the respondent is the applicant herself or the applicant....................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respondent has not made provision for the applicant’s maintenance.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applicant submits that having regard to the respondent’s own income and his property and having regard to the fact that the applicant has no independent income sufficient for her support and the necessary expenses of the proceedings, a sum of Rs..................... per week/month as and by way of her support is the just and proper amount.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 respondent may be ordered to pay a sum of Rs..................... as the applicant’s expenses of the proceeding and a sum of Rs.......................... weekly/monthly for applicant’s support during the proceedings.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applicant states on solemn affirmation that Paras................. to.................... of the application are true to the applicant’s knowledge and paras .................... to.................... are true to the applicant’s information received and believed to be true by her.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hanging="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