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A DECREE OF NULLITY OF MARRIAGE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a decree of nullity of marriage under Section 11 of the Hindu Marriage Act, 1955 (No. 25 of 1955).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marriage was solemnized between the parties after the commencement of the Hindu Marriage Act on.................... at.................... A certified extract from the Hindu Marriage Register/affidavit duly attested is filed herewith.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time of filing the petition were as follows: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Before marriage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a party is a Hindu by religion or not is a part of his or her status.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particulars and place(s) of co-habitation as husband and wife and the children from the marriage, if any, may be given. The date and place of birth and name and sex of each child and the fact whether alive or dead should also be stated].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a spouse living at the time of the marriage (State full particulars).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are within the degrees of prohibited relationship and there is no custom or usage governing each of them which permits of a marriage between the two. (Exact relationship between the parties should be given).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are sapindas of each other and there is no custom or usage governing each of them which permits of a marraige between the two. (Exact relationship between the parties should be specified).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or more of the above grounds may be pleaded and portions which are not applicable should be scored out. Facts on which the claim to relief is founded should be stated as distinctly as the nature of the case permits. The Matrimonial offences charged should be set in separate paragraph with times and places of their alleged commission).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There has not been any unnecessary or improper delay in filing the petition.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There is no other legal ground why relief should not be granted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There has not been any previous proceedings with regard to the marriage by or on behalf of any party.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 marriage was solemnized/reside/parties ................. within the local limits of the ordinary orieinal last resided civil jurisdiction of this Court.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petitioner, therefore, prays that the marriage Solemnized between the parties being null and void may be so declared by the Court by a decree of nullity.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best of the petitioner’s information and belief.</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