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DIVORCE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divorce under Section 27 of the Special Marriage Act, 1954 (No. 43 of 1954).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is the husband/wife of respondent. The marriage between the parties was solemnized/registered under Chapter II of the Act by the Marriage Officer of Chapter II.................... at.................... on.................... A certified copy of the certificate of marriage is attached with this petition.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Before marriage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respondent has.................... (one or more of the grounds specified in Section 27 of the Act may be pleaded there. The facts on which the claim to relief is founded should be stated in accordance with the Rules and as distinctly as the nature of the case permits).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(Where the ground of petition is adultery). The petitioner has not in any manner been accessory to or connived at or condoned the adultery.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(Where the ground of petition is cruetly). The petitioner has not in any manner condoned the cruelty.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petition is not presented in collusion with the respondent.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There has not been any unncessary or improper delay in instituting the proceedings.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There has not been any previous proceedings with regard to the marriage by or on behalf of any party.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 petition by a husband for divorce on the ground of adultery where damages are claimed against the co-respondent, grounds on which the claim to damages is founded should be fully and clearly-stated and the amount claimed and the mode of assessment should be specified).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There is no other ground why relief should not be granted.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The marriage was solemnized at....................... The husband and wife reside at....................... The husband and wife last resided together at..................... (within the local limits of the jurisdiction of this Court).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petition is by a wife domiciled in the territories of India except the State of Jammu and Kashmir). The petitioner is resident within the territories of India except the State of Jammu and Kashmir and has been ordinarily resident therein for a period of three years immediately preceding the presentation of this petition and the respondent is not resident in the said territories. (Give particulars according to the Rules).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The petitioner submits that this Hon’ble Court has jurisdiction to entertain this petition.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The petitioner, therefore, prays that he may be granted a decree of divorce against the respondent, and (to be scored out if unnecessary may further be granted a decree for recovery of Rs..................... as damages against the adulterer correspondent.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petitioner’s knowledge and paras .................... to.................... are true to the petitioner’s information received and believed to be true by him.</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in a divorce petition wife took up a plea and also led evidence that petitioner husband was interested in getting married with another girl but fact was not proved, it would not mean that allegation was false which could amount to cruelty.4</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ingredients of Section 13B of Hindu Marriage Act are satisfied, court has no other option except to accept the prayer for dissolution of marriage by decree of divorce.5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Cruelty cannot be judged from a solitary incident but on an overall consideration of all relevant circumstances.6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party seeking divorce on the ground of desertion is required to show that she was not taking the advantage of his or her own wrong.7</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Hema Reddy v. Rakesh Reddy, 2002 (2) CCC 227 (A. P).</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 S. Subrumanian v. V. Vasanthi Devi, 2002 (2) CCC 153 (Mad.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G. V. N. Kameswara Rao v. G. Jabilli, AIR 2002 SC 576.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Savitri Pandey v. Prem Chandra Pandey, AIR 2002 SC 591.</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