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SERVICE LAW</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RECOVERY OF PROMPT  DOWER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was married with the defendant on.................... 19 .................... according to Muslim Law and rites applicable to Sunhis in India, and dower debt of Rs..................... was settled, out of which Rs.................... was settled to be prompt dower. Both the parties are Sunni Mohammedans.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has not paid the prompt dower aforesaid, and has been evading the payment on one make-belief or the other.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cause of action arose on.................... when the defendant refused to pay any prompt dower, and this Court has jurisdiction to try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suit is valued at.................... rupees the amount of prompt dower, settled at the time of marriage/or it is expedient that the Court may be pleased to adjudge Rs..................... as prompt dower or any other amount which the Court may deem fit. Court fee is paid according to the relief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or any other amount as the Court may deem fit, as the prompt dower from the defendant.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PLURALITY OF MARRIAGES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right is not unconditionally conferred on husband. His capacity to do justice between co-wives is a condition precedent.1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Lily Thomas v. Union of India, AIR 2000 SC 1650.</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