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DOWER AFTER DISSOLUTION OF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and the defendant are Sunni Mohammedans. They were married to each other on.................... 19.................... according to Muslim Law applicable to Sunnis, and at the time of marriage Rs..................... was settled to be the dower debt out of which Rs..................... was settled to be the prompt dower and the rest as deferred dower.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paid neither the prompt dower nor the deferred one, and has divorced the plaintiff by uttering the words "I divorce You, " three times in the presence of the plaintiff, on.................... 19.................... /or that the defendant has died on.................... without payment of the dower debt aforesaid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as the plaintiff is heir of l/8th share of the properties left by the defendant, she has disclaimed l/8th share of her dower debt to be deducted from the dower debt.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is in possession of the properties left by the defendant.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cause of action arose on.................... 19.................... when the defendant divorced the plaintiff/or when the defendant died and this Court has jurisdiction to try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amount due of the dower debt, and Court fees is paid according to the 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from the defendant/the defendants the legal representatives of the deceased.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vof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