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SUIT FOR DOWER BY LEGAL REPRESENTATIVES OF THE WIFE AGAINST THE LEGAL REPRESENTATIVES OF THE DECEASED HUSBAND</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That.................... and.................... both were Sunni Mohammedans and their marriage with each other was performed according to Muslim Law applicable to Sunnis on.................... 19.................... and Rs..................... was settled to be the dower debt, which still remains unpaid.</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That.................... died on.................... 19.................... and XY is her only legal representative being her step son..................... also died on.................... 19.................... leaving behind him.................... etc. as his legal representatives.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That A. B. was in possession of one house No..................... situate at .................... out of the estate of..................... and the plaintiff is at present in exclusive possession of that house. The rest of the estate of.................... is in possession of the defendant’s legal representatives.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That the cause of action arose within the jurisdiction of this Court on .................... 19.................... when.................... died.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5. The suit is valued at Rs.................... the amount of the dower debt remaining unpaid, and this Court has jurisdiction to try the suit. Court-fee is paid according to the relief claimed.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RELIEF CLAIMED: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Plaintiff claims payment of Rs................ from the defendant’s legal representatives of.................... and interest from the date of filing the suit till payment thereof. The amount may be realised from the entire estate of.................... in the hands of the parties in a way as the Court directs.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Plaintiff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Through Advocate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VERIFICATION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Verified on this................. day of.................... 19.................... at....................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Plaintiff</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