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EVIDENCING ORAL PARTITION</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MEMORANDUM OF PARTITION is drawn upon the day of, 2000, and puts on record the oral partition BETWEEN AB etc, of the first part, CD etc; of the second part and EF etc. of the third part, sons of the late GH, resident of ..Road, in the city of..</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GH died intestate on the.day of..,2000, leaving three sons, named above, entitled to the properties, movable and immovable, left by the GH.</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difference and disputes arose between the said three sons who approached KL ofto divide and distribute the properties between them.</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KL on the.day of., 2000 before the parties divided all the movable property in 3 equal shares as per list attached and allotted the first 10 times to AB and the next 8 items to CD and the remaining 12 items of EF all of whom accepted the said distribution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KL on the same day before the parties divided the entire house situated in ..and allotted the portion marked on the plan in red and coloured red to AB and the portion marked in blue and coloured blue in the same plan to CD and the small house situated at No. 10..Road in the city of..was allotted in its entirety to EF;</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parties have accepted the said partition as final, conclusive and binding upon them.</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WHEREFORE this memorandum of partition is drawn up before the parties and the arbitrator, who have subscribed their signatures thereto in order to signify the correctness of the facts mentioned above.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aforementioned have executed this deed of partition on the day offirst abovementioned.</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(Sd).</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(AB)</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(Sd)..</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(CD)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(Sd)</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(EF)</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