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DAMAGES FOR INJURIES CAUSED BY NEGLIGENT DRIVING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plaintiff is a shoemaker, carrying on business at.................... The defendant is a merchant of....................</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On the.................... day of.................... 19....................., the plaintiff was walking southward along....................,. in the City of..................... at about 3 o’clock in the afternoon. He was obliged to cross.................... which is a street running into .................... at right angles. While he was crossing this street, and just before he could reach the foot pavement on the farther side thereof, a carriage of the defendant’s drawn by two horses under the charge and control of the defendant’s servants, was negligently, suddenly and without any warning turned at a rapid and dangerous pace out of.................... into.................... The pole of the carriage struck the plaintiff and knocked him down, and he was trampled by the horses.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By the blow and fall and trampling the plaintiff’s left arm was broken and he was bruised and injured on the side and back, as well as internally, and in consequence thereof the plaintiff was for four months ill and is suffering and unable to attend to his business, and incurred heavy medical and other expenses, and sustained great loss of business and profits, which are assessed to be of Rs. .................... as detailed in the Schedule annexed hereto.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plaintiff demanded damages through registered notice but the defendant has denied his liability in his reply.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cause of action arose on.................... 19.................... when the plaintiff got injuries at the hands of the defendant’s wrongful driving of the horse carriage, within the jurisdiction of this court.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The suit is valued at Rs..................... the amount of damages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 CLAIMED: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 Rs.................... from the defendant by way of damages and costs of the suit.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