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Anticipatory Bail under section 438,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Sessions Judge at Howrah</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AB son of MN resident of  …   </w:t>
      </w:r>
      <w:r w:rsidDel="00000000" w:rsidR="00000000" w:rsidRPr="00000000">
        <w:rPr>
          <w:rFonts w:ascii="Arial" w:cs="Arial" w:eastAsia="Arial" w:hAnsi="Arial"/>
          <w:i w:val="1"/>
          <w:smallCaps w:val="0"/>
          <w:sz w:val="24"/>
          <w:szCs w:val="24"/>
          <w:rtl w:val="0"/>
        </w:rPr>
        <w:t xml:space="preserve">Petitioner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The State of West Bengal …</w:t>
        <w:tab/>
      </w:r>
      <w:r w:rsidDel="00000000" w:rsidR="00000000" w:rsidRPr="00000000">
        <w:rPr>
          <w:rFonts w:ascii="Arial" w:cs="Arial" w:eastAsia="Arial" w:hAnsi="Arial"/>
          <w:i w:val="1"/>
          <w:smallCaps w:val="0"/>
          <w:sz w:val="24"/>
          <w:szCs w:val="24"/>
          <w:rtl w:val="0"/>
        </w:rPr>
        <w:t xml:space="preserve">Respondent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the petitioner above-named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RESPECTFULLY SHEWETH:</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a burglary was said to have been committed in a village which is contiguous to the village Dhubli where the petitioner’s house is situated on the night of 6th June 2010.</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owner of the house, in which the burglary had been committed, has enmity with the petitioner for several years over landed properties and he is trying to implicate the petitioner in the said dacoity case falsely.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has reasons to believe that your petitioner may be arrested on accusation of having committed the said offence of burglary which is a non-bailable offence by police at the instance of the said owner of the house where burglary is said to have been committed.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petitioner undertakes to obey all the conditions mentioned in clauses (</w:t>
      </w:r>
      <w:r w:rsidDel="00000000" w:rsidR="00000000" w:rsidRPr="00000000">
        <w:rPr>
          <w:rFonts w:ascii="Arial" w:cs="Arial" w:eastAsia="Arial" w:hAnsi="Arial"/>
          <w:i w:val="1"/>
          <w:smallCaps w:val="0"/>
          <w:sz w:val="24"/>
          <w:szCs w:val="24"/>
          <w:rtl w:val="0"/>
        </w:rPr>
        <w:t xml:space="preserve">i</w:t>
      </w:r>
      <w:r w:rsidDel="00000000" w:rsidR="00000000" w:rsidRPr="00000000">
        <w:rPr>
          <w:rFonts w:ascii="Arial" w:cs="Arial" w:eastAsia="Arial" w:hAnsi="Arial"/>
          <w:smallCaps w:val="0"/>
          <w:sz w:val="24"/>
          <w:szCs w:val="24"/>
          <w:rtl w:val="0"/>
        </w:rPr>
        <w:t xml:space="preserve">) to (</w:t>
      </w:r>
      <w:r w:rsidDel="00000000" w:rsidR="00000000" w:rsidRPr="00000000">
        <w:rPr>
          <w:rFonts w:ascii="Arial" w:cs="Arial" w:eastAsia="Arial" w:hAnsi="Arial"/>
          <w:i w:val="1"/>
          <w:smallCaps w:val="0"/>
          <w:sz w:val="24"/>
          <w:szCs w:val="24"/>
          <w:rtl w:val="0"/>
        </w:rPr>
        <w:t xml:space="preserve">iii</w:t>
      </w:r>
      <w:r w:rsidDel="00000000" w:rsidR="00000000" w:rsidRPr="00000000">
        <w:rPr>
          <w:rFonts w:ascii="Arial" w:cs="Arial" w:eastAsia="Arial" w:hAnsi="Arial"/>
          <w:smallCaps w:val="0"/>
          <w:sz w:val="24"/>
          <w:szCs w:val="24"/>
          <w:rtl w:val="0"/>
        </w:rPr>
        <w:t xml:space="preserve">) of sub-sec. (2) of section 438, Cr PC and to obey any other conditions if imposed by Your Honour.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In the circumstances your petitioner prays that Your Honour may be graciously pleased to issue a direction to the Officer-in-Charge of Police Station Dhubli that in the event of your petitioner being arrested he may be released on bail on any conditions that Your Honour may be pleased to impose on your petitioner.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And your petitioner, as in duty bound, shall ever pray.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Verification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i w:val="1"/>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MN, residing at ……………, Howrah ……… do hereby solemnly affirm and say as follows: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I know the facts and circumstances of the case.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2, 3 and 4 of the foregoing petition are true to my knowledge and belief.</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 7th day of June 2010 at the Court House in Howrah.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 this 10th day of June 2010 at Court House in Howrah.</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Notary/Magistrate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