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Memorandum of Civil Miscellaneous Petition</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151 of C.P.C)</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 THE HIGH COURT OF JUDICATURE 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AT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C.M.P. No……… of 20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S.A.No………… of 20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particulars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furnished</w:t>
        <w:tab/>
        <w:tab/>
        <w:t xml:space="preserve">                </w:t>
        <w:tab/>
        <w:tab/>
        <w:tab/>
        <w:t xml:space="preserve">  ……Petitioner/Appellant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And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rep., by Station House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Officer, Police Station</w:t>
        <w:tab/>
        <w:t xml:space="preserve">                                                    …..Respondent/Respondents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other Respondents in the above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Second Appeal are not necessary parties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this petition)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reasons and in the circumstances stated in the accompanying affidavit, the petitioner herein prays in the interests of justice, that this Hon’ble Court may be pleased to stay the execution of the decree made in A.S.No. ….. of ……… on the file of the district Judge, dt. ………. partly allowing the Appeal for an extent of Ac……. cents, reversing part of the Decree and Judgment made in O.S.No. …… of 20…… on the file of the Court of the District Munsif, ……….. dt………, pending the disposal of the above Second Appeal, and pass such other and further order or orders as this Hon’ble Court may deem fit and proper in the circumstances of the case.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tab/>
        <w:tab/>
        <w:tab/>
        <w:tab/>
        <w:tab/>
        <w:tab/>
        <w:tab/>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petitioner.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