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Title of Suits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 Description and Residence) </w:t>
        <w:tab/>
        <w:tab/>
        <w:tab/>
        <w:tab/>
        <w:t xml:space="preserve">…Plaintiff</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 xml:space="preserve">  Against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 Description and residence) </w:t>
        <w:tab/>
        <w:tab/>
        <w:tab/>
        <w:t xml:space="preserve">...Defendant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DESCRIPTION OF PARTIES IN PARTICULAR CASES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[The Union of India or the State ……………… at the case may be].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Advocate General of</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Collector 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of</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 Company, Limited having its registered office at ………………...., a public officer of the ……………….. Company ………………….. (Add description and residence), on behalf of himself and all other creditors of ………………….., late of (Add Description and residence). ……………………… (Add description and residence),  on behalf of himself and all other holders of debenture  issued by the Company Limited.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Official Receiver.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 description and residence), by ……………..or by the Court of Wards, his next friend. ……………………. ………………………… (Add description and residence), a person of unsound mind or of weak mind, by ……………….. his next friend. ..…………………………………..…, a firm carrying on business in partnership at ………………….. …..………………….. (Add Description and residence), by his constituted attorney …………………………………… (Add description and residence).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 description and residence), ………. of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(Add description and residence), executor of ………………., deceased. …………… (Add description and residence), heir of ……………… deceased.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