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Written Statements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(General Defences)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Denial - The defendant denies that facts.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does not admit that facts.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admits that …………………… but says that ………..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denies that he is a partner in the defendant firm of ……………………….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Protest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denies that he made the contract alleged or any contact with the plaintiff.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denies that he contracted with plaintiff as alleged or at all.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admits assets but not the plaintiff’s claim.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denies that the plaintiff sold to him the goods mentioned in the plaint or any of them.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Limitation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suit is barred by article …………………. or article …………….. of the Second Schedule to the [Indian Limitation Act, 1877 (15 of 1877)].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Jurisdiction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Court has no jurisdiction to hear the suit on the ground that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set forth the grounds.)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On the …………….. day of ……………. a diamond ring was delivered by the defendant to and accepted by the plaintiff in discharge of the alleged cause of action.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Res judicata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plaintiff’s claim is barred by the decree in suit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give the reference)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Estoppel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plaintiff is estopped from denying the truth of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insert statement as to which estoppel is claimed) because (here state the facts relied on as creating the estoppel).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Insolvency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has been adjudged an insolvent.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plaintiff before the institution of the suit was adjudged an insolvent and the right to sue vested in the receiver.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Minority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was a minor at the time of making the alleged contract.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Payment into Court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defendant as to the whole claim (or as Rs………. part of (the money claimed, or as the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case may be)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has paid into Court Rs……… and says that this sum is enough to satisfy the plaintiff’s claim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or the part aforesaid).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Performance remitted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performance of the promise alleged was remitted on the ………….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Data).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Rescission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contract was rescinded by agreement between the plaintiff and defendant.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Ground of defence subsequent to institution of suit -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Since the institution of the suit, that is to say, on the ……………… day of ………….. (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Set out facts).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