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AGAINST A COMMON CARRIER FOR DAMAGES DUE TO DELAY CAUSED IN DELIVERY OF THE GOODS SENT THROUGH HIM</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sent on.................... 19............ the goods, detailed in the Schedule hereto annexed, through the Defendant..................... who are common-carriers from.................... to.................... be delivered on orders of the plaintiff.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unduly delayed for two-months in delivering the said goods at.................... on order of the plaintiff as agreed per voucher dated.................... 19 .................... the terms and conditions noted at the back whereof, and thus caused damage of Rs..................... to the plaintiff.</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plaintiff asked for payment of said damages from the defendant through a registered notice which the defendant received on.................... 19 ..................... but the defendant has denied his liability for damages through his reply dated.................... 19.................... received by the plaintiff, on.................... 19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defendant received notice of demand for damages from the plaintiff, and secondly on.................... when the plaintiff received the reply of the defendant,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Rs...................... the amount of damages, and court-fee is paid on the said amount.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payment of Rs...................... as damages from the defendant and interest on the amount from the date of the suit till payment thereof.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w:t>
        <w:br w:type="textWrapping"/>
        <w:t xml:space="preserve">believe to be true.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