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ACCOUNT AGAINST AN EX-GUARDIAN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had been a minor upto..................... and the defendant had been a guardian of the property of the plaintiff, per order of appointment as guardian, of the District Judge, Dated....................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during the period of his guardianship, the defendant had been in exclusive possession of the plaintiffs property, and had been realising the income thereof. The plaintiff requested the defendant on.................... through a registered letter to give account of the income aforesaid. But the defendant did not heed to the demand. He did not reply even to the letter of demand sent by the defendant as aforesaid.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is not aware of the income actually realised by the defendant or of the expenditure rendered by him on behalf of the plaintiff.</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cause of action arose on..................... the date of service of letter of demand on the defendant, within the jurisdiction of this Court.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 the approximate amount of net income of the property of the plaintiff in the hands of the defendant.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the following reliefs: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defendant be ordered to give full and correct account of the income realised and expenditure incurred by the defendant in Court, in respect of the plaintiffs property during the period of guardianship of the defendant.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defendant be ordered to pay the net income of the plaintiff’s property during his guardianship, to the plaintiff.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Interest on the net income at the rate of ................. % per annum, or as may be deemed fit may be awarded to the plaintiff.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