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ADMINISTRATION ANOTHER FORM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 the.................... died on the.................... day of .................... By his last will, dated the.................... day of..................... he appointed .................. the defendant and.................... (who died in the testator’s lifetime) his executors, and bequeathed his property, whether movable or immovable, to his executors in trust, to pay the rents and income thereof to the plaintiff for his life; and after his decease, and in default of his having a son who should attain twenty-one, or a daughter who should attain that age or marry, upon trust as to his immovable property for the person who would be the testator’s heir-at-law, and as to him movable property for the persons who would be the testator’s next-of-kin if he had died intestate at the time of the death of the plaintiff, and such failure -of his issue as aforesaid.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will was proved by the defendant on the.................... day of .................... The plaintiff has not been married.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testator was at his death entitled to movable and immovable property; the defendant entered into the receipt of the rents of the immovable property and got in the movable property; he has sold some part of the immovable property.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cause of action arose on.................... the day of death of the testator, within the jurisdiction of this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the market value of the properties under administration, and court fee is paid according to the nature of the relief claimed.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to have the movable and immovable property of.................... administered in this Court, and for that purpose to have all proper directions given and accounts taken;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such further or other relief as the nature of the case may require.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