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ADMINISTRATION BY CREDITOR ON BEHALF OF HIMSELF AND ALL OTHER CREDITORS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late of..................... was at the time of his death, and his estate still is indebted to the plaintiff in the sum of.................... (here insert nature of debt and security, if any).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died on or about the.................... day of.................... By his last Will dated the.................... day of.................... he appointed.................... his executor (or devised his estate in trust, etc., or died intestate, as the case may be).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Will was proved by.................... (or letters of administration were granted etc.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defendant has possessed himself of the movable (and immovable, or the proceeds of the immovable) property of..................... and has not paid the plaintiff his debt.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cause of action arose on.................... the date of demise of .................... and this Court has jurisdiction to try the suit.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suit is valued at Rs..................... and court fee is paid according to the nature of the 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that an account may be taken of the movable and immovable property of.................... deceased, and that the same may be administered under the decree of the court.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