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ADMINISTRATION BY SPECIFIC LEGATEE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late of.................... died on or about the.................... day of..................... By his last will, dated the.................... day of.................... he appointed..................... his executor, and bequeathed to the plaintiff (here state the specific legacy).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was proved by.................... (or letters of administration were granted,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defendant is in possession of the movable property of.................... and amongst other things, of the said (here name the subject of the specific bequest).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arose within the jurisdiction of the Court on .................... when.................... died.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and court fee is paid according to the nature of the 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that the defendant may be ordered to deliver to him the said (here name the subject of the specific bequest), or that,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